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“乾元-私享”2018年第81期私人银行人民币理财产品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586C0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86C0E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“乾元-私享”2018年第81期私人银行人民币理财产品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13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2675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98772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065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98772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.18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“乾元-私享”2018年第81期私人银行人民币理财产品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2018/2/8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2018/2/12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2018/2/13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2021/1/13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86A00" w:rsidTr="00B10A99">
        <w:trPr>
          <w:trHeight w:val="285"/>
          <w:jc w:val="center"/>
        </w:trPr>
        <w:tc>
          <w:tcPr>
            <w:tcW w:w="2547" w:type="dxa"/>
            <w:vAlign w:val="center"/>
          </w:tcPr>
          <w:p w:rsidR="00586A00" w:rsidRDefault="00586A00" w:rsidP="00586A0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3062</w:t>
            </w:r>
            <w:r w:rsidRPr="00586A00">
              <w:rPr>
                <w:rFonts w:ascii="宋体" w:hAnsi="宋体" w:cs="宋体"/>
                <w:kern w:val="0"/>
              </w:rPr>
              <w:t>332.12</w:t>
            </w:r>
          </w:p>
        </w:tc>
        <w:tc>
          <w:tcPr>
            <w:tcW w:w="1843" w:type="dxa"/>
          </w:tcPr>
          <w:p w:rsidR="00586A00" w:rsidRP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86A00">
              <w:rPr>
                <w:rFonts w:ascii="宋体" w:hAnsi="宋体" w:cs="宋体"/>
                <w:kern w:val="0"/>
              </w:rPr>
              <w:t>9.86%</w:t>
            </w:r>
          </w:p>
        </w:tc>
        <w:tc>
          <w:tcPr>
            <w:tcW w:w="1418" w:type="dxa"/>
            <w:vAlign w:val="center"/>
          </w:tcPr>
          <w:p w:rsid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3062</w:t>
            </w:r>
            <w:r w:rsidRPr="00586A00">
              <w:rPr>
                <w:rFonts w:ascii="宋体" w:hAnsi="宋体" w:cs="宋体"/>
                <w:kern w:val="0"/>
              </w:rPr>
              <w:t>332.12</w:t>
            </w:r>
          </w:p>
        </w:tc>
        <w:tc>
          <w:tcPr>
            <w:tcW w:w="1842" w:type="dxa"/>
          </w:tcPr>
          <w:p w:rsidR="00586A00" w:rsidRP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86A00">
              <w:rPr>
                <w:rFonts w:ascii="宋体" w:hAnsi="宋体" w:cs="宋体"/>
                <w:kern w:val="0"/>
              </w:rPr>
              <w:t>9.86%</w:t>
            </w:r>
          </w:p>
        </w:tc>
      </w:tr>
      <w:tr w:rsidR="00586A00" w:rsidTr="00B10A99">
        <w:trPr>
          <w:trHeight w:val="285"/>
          <w:jc w:val="center"/>
        </w:trPr>
        <w:tc>
          <w:tcPr>
            <w:tcW w:w="2547" w:type="dxa"/>
            <w:vAlign w:val="center"/>
          </w:tcPr>
          <w:p w:rsidR="00586A00" w:rsidRDefault="00586A00" w:rsidP="00586A0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86A00">
              <w:rPr>
                <w:rFonts w:ascii="宋体" w:hAnsi="宋体" w:cs="宋体"/>
                <w:kern w:val="0"/>
              </w:rPr>
              <w:t>28000000</w:t>
            </w:r>
          </w:p>
        </w:tc>
        <w:tc>
          <w:tcPr>
            <w:tcW w:w="1843" w:type="dxa"/>
          </w:tcPr>
          <w:p w:rsidR="00586A00" w:rsidRP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86A00">
              <w:rPr>
                <w:rFonts w:ascii="宋体" w:hAnsi="宋体" w:cs="宋体"/>
                <w:kern w:val="0"/>
              </w:rPr>
              <w:t>90.14%</w:t>
            </w:r>
          </w:p>
        </w:tc>
        <w:tc>
          <w:tcPr>
            <w:tcW w:w="1418" w:type="dxa"/>
            <w:vAlign w:val="center"/>
          </w:tcPr>
          <w:p w:rsid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86A00">
              <w:rPr>
                <w:rFonts w:ascii="宋体" w:hAnsi="宋体" w:cs="宋体"/>
                <w:kern w:val="0"/>
              </w:rPr>
              <w:t>28000000</w:t>
            </w:r>
          </w:p>
        </w:tc>
        <w:tc>
          <w:tcPr>
            <w:tcW w:w="1842" w:type="dxa"/>
          </w:tcPr>
          <w:p w:rsidR="00586A00" w:rsidRP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86A00">
              <w:rPr>
                <w:rFonts w:ascii="宋体" w:hAnsi="宋体" w:cs="宋体"/>
                <w:kern w:val="0"/>
              </w:rPr>
              <w:t>90.14%</w:t>
            </w:r>
          </w:p>
        </w:tc>
      </w:tr>
      <w:tr w:rsidR="00586A00" w:rsidTr="003540EF">
        <w:trPr>
          <w:trHeight w:val="285"/>
          <w:jc w:val="center"/>
        </w:trPr>
        <w:tc>
          <w:tcPr>
            <w:tcW w:w="2547" w:type="dxa"/>
            <w:vAlign w:val="center"/>
          </w:tcPr>
          <w:p w:rsidR="00586A00" w:rsidRDefault="00586A00" w:rsidP="00586A0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417" w:type="dxa"/>
            <w:vAlign w:val="center"/>
          </w:tcPr>
          <w:p w:rsidR="00586A00" w:rsidRDefault="00586A00" w:rsidP="00586A0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586A00">
              <w:rPr>
                <w:rFonts w:ascii="宋体" w:hAnsi="宋体" w:cs="宋体"/>
                <w:kern w:val="0"/>
              </w:rPr>
              <w:t>31062332.12</w:t>
            </w:r>
          </w:p>
        </w:tc>
        <w:tc>
          <w:tcPr>
            <w:tcW w:w="1843" w:type="dxa"/>
            <w:vAlign w:val="center"/>
          </w:tcPr>
          <w:p w:rsid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418" w:type="dxa"/>
            <w:vAlign w:val="center"/>
          </w:tcPr>
          <w:p w:rsidR="00586A00" w:rsidRDefault="00586A00" w:rsidP="00586A0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586A00">
              <w:rPr>
                <w:rFonts w:ascii="宋体" w:hAnsi="宋体" w:cs="宋体"/>
                <w:kern w:val="0"/>
              </w:rPr>
              <w:t>31062332.12</w:t>
            </w:r>
          </w:p>
        </w:tc>
        <w:tc>
          <w:tcPr>
            <w:tcW w:w="1842" w:type="dxa"/>
            <w:vAlign w:val="center"/>
          </w:tcPr>
          <w:p w:rsidR="00586A00" w:rsidRDefault="00586A00" w:rsidP="00586A0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5204A8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987726">
              <w:rPr>
                <w:rFonts w:asciiTheme="minorEastAsia" w:eastAsiaTheme="minorEastAsia" w:hAnsiTheme="minorEastAsia" w:hint="eastAsia"/>
              </w:rPr>
              <w:t>17连辽渔EF001</w:t>
            </w:r>
          </w:p>
        </w:tc>
        <w:tc>
          <w:tcPr>
            <w:tcW w:w="1800" w:type="dxa"/>
            <w:vAlign w:val="center"/>
          </w:tcPr>
          <w:p w:rsidR="005204A8" w:rsidRPr="00C720CE" w:rsidRDefault="00586A00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586A00">
              <w:rPr>
                <w:rFonts w:asciiTheme="minorEastAsia" w:eastAsiaTheme="minorEastAsia" w:hAnsiTheme="minorEastAsia"/>
              </w:rPr>
              <w:t>28000000</w:t>
            </w:r>
          </w:p>
        </w:tc>
        <w:tc>
          <w:tcPr>
            <w:tcW w:w="1762" w:type="dxa"/>
            <w:vAlign w:val="center"/>
          </w:tcPr>
          <w:p w:rsidR="005204A8" w:rsidRPr="00C720CE" w:rsidRDefault="00586A00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586A00">
              <w:rPr>
                <w:rFonts w:ascii="宋体" w:hAnsi="宋体" w:cs="宋体"/>
                <w:kern w:val="0"/>
              </w:rPr>
              <w:t>90.14%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2370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2370E">
              <w:rPr>
                <w:rFonts w:ascii="宋体" w:hAnsi="宋体" w:cs="宋体"/>
                <w:kern w:val="0"/>
              </w:rPr>
              <w:t>44050186320100001363-0164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F0A04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86C0E" w:rsidP="005204A8">
      <w:pPr>
        <w:jc w:val="center"/>
        <w:rPr>
          <w:b/>
          <w:color w:val="000000"/>
          <w:sz w:val="24"/>
          <w:szCs w:val="24"/>
        </w:rPr>
      </w:pPr>
      <w:r w:rsidRPr="00586C0E">
        <w:rPr>
          <w:rFonts w:hint="eastAsia"/>
          <w:b/>
          <w:color w:val="000000"/>
          <w:sz w:val="24"/>
          <w:szCs w:val="24"/>
        </w:rPr>
        <w:t>“乾元</w:t>
      </w:r>
      <w:r w:rsidRPr="00586C0E">
        <w:rPr>
          <w:rFonts w:hint="eastAsia"/>
          <w:b/>
          <w:color w:val="000000"/>
          <w:sz w:val="24"/>
          <w:szCs w:val="24"/>
        </w:rPr>
        <w:t>-</w:t>
      </w:r>
      <w:r w:rsidRPr="00586C0E">
        <w:rPr>
          <w:rFonts w:hint="eastAsia"/>
          <w:b/>
          <w:color w:val="000000"/>
          <w:sz w:val="24"/>
          <w:szCs w:val="24"/>
        </w:rPr>
        <w:t>私享”</w:t>
      </w:r>
      <w:r w:rsidRPr="00586C0E">
        <w:rPr>
          <w:rFonts w:hint="eastAsia"/>
          <w:b/>
          <w:color w:val="000000"/>
          <w:sz w:val="24"/>
          <w:szCs w:val="24"/>
        </w:rPr>
        <w:t>2018</w:t>
      </w:r>
      <w:r w:rsidRPr="00586C0E">
        <w:rPr>
          <w:rFonts w:hint="eastAsia"/>
          <w:b/>
          <w:color w:val="000000"/>
          <w:sz w:val="24"/>
          <w:szCs w:val="24"/>
        </w:rPr>
        <w:t>年第</w:t>
      </w:r>
      <w:r w:rsidRPr="00586C0E">
        <w:rPr>
          <w:rFonts w:hint="eastAsia"/>
          <w:b/>
          <w:color w:val="000000"/>
          <w:sz w:val="24"/>
          <w:szCs w:val="24"/>
        </w:rPr>
        <w:t>81</w:t>
      </w:r>
      <w:r w:rsidRPr="00586C0E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86C0E" w:rsidRPr="00586C0E">
        <w:rPr>
          <w:rFonts w:ascii="宋体" w:hAnsi="宋体" w:hint="eastAsia"/>
          <w:color w:val="000000"/>
          <w:szCs w:val="21"/>
        </w:rPr>
        <w:t>“乾元-私享”2018年第81期私人银行人民币理财产品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370E" w:rsidP="005A08AB">
            <w:pPr>
              <w:jc w:val="center"/>
            </w:pPr>
            <w:r w:rsidRPr="0022370E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370E" w:rsidP="005A08AB">
            <w:pPr>
              <w:jc w:val="center"/>
            </w:pPr>
            <w:r w:rsidRPr="0022370E">
              <w:rPr>
                <w:rFonts w:hint="eastAsia"/>
              </w:rPr>
              <w:t>辽渔集团有限公司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22370E" w:rsidP="005A08AB">
            <w:pPr>
              <w:jc w:val="center"/>
            </w:pPr>
            <w:r w:rsidRPr="0022370E">
              <w:rPr>
                <w:rFonts w:hint="eastAsia"/>
              </w:rPr>
              <w:t>17</w:t>
            </w:r>
            <w:r w:rsidRPr="0022370E">
              <w:rPr>
                <w:rFonts w:hint="eastAsia"/>
              </w:rPr>
              <w:t>连辽渔</w:t>
            </w:r>
            <w:r w:rsidRPr="0022370E">
              <w:rPr>
                <w:rFonts w:hint="eastAsia"/>
              </w:rPr>
              <w:t>EF001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02B7F" w:rsidP="005A08AB">
            <w:pPr>
              <w:jc w:val="center"/>
            </w:pPr>
            <w:r>
              <w:t>1170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C9" w:rsidRDefault="00477DC9" w:rsidP="00747E15">
      <w:r>
        <w:separator/>
      </w:r>
    </w:p>
  </w:endnote>
  <w:endnote w:type="continuationSeparator" w:id="0">
    <w:p w:rsidR="00477DC9" w:rsidRDefault="00477DC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C9" w:rsidRDefault="00477DC9" w:rsidP="00747E15">
      <w:r>
        <w:separator/>
      </w:r>
    </w:p>
  </w:footnote>
  <w:footnote w:type="continuationSeparator" w:id="0">
    <w:p w:rsidR="00477DC9" w:rsidRDefault="00477DC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77DC9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C491D"/>
    <w:rsid w:val="005D075A"/>
    <w:rsid w:val="005E1AF9"/>
    <w:rsid w:val="005F0968"/>
    <w:rsid w:val="005F0A04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9</cp:revision>
  <cp:lastPrinted>2019-01-03T08:39:00Z</cp:lastPrinted>
  <dcterms:created xsi:type="dcterms:W3CDTF">2020-04-10T09:55:00Z</dcterms:created>
  <dcterms:modified xsi:type="dcterms:W3CDTF">2020-10-28T12:22:00Z</dcterms:modified>
</cp:coreProperties>
</file>