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6" w:rsidRPr="006532D3" w:rsidRDefault="005468F6" w:rsidP="005468F6">
      <w:pPr>
        <w:adjustRightInd w:val="0"/>
        <w:snapToGrid w:val="0"/>
        <w:spacing w:line="560" w:lineRule="exact"/>
        <w:rPr>
          <w:rFonts w:ascii="彩虹黑体" w:eastAsia="彩虹黑体"/>
          <w:sz w:val="32"/>
          <w:szCs w:val="32"/>
        </w:rPr>
      </w:pPr>
      <w:r w:rsidRPr="006532D3">
        <w:rPr>
          <w:rFonts w:ascii="彩虹黑体" w:eastAsia="彩虹黑体" w:hint="eastAsia"/>
          <w:sz w:val="32"/>
          <w:szCs w:val="32"/>
        </w:rPr>
        <w:t>新闻通稿</w:t>
      </w:r>
    </w:p>
    <w:p w:rsidR="005468F6" w:rsidRDefault="005468F6" w:rsidP="005468F6">
      <w:pPr>
        <w:adjustRightInd w:val="0"/>
        <w:snapToGrid w:val="0"/>
        <w:spacing w:line="560" w:lineRule="exact"/>
        <w:jc w:val="center"/>
        <w:rPr>
          <w:rFonts w:ascii="彩虹小标宋" w:eastAsia="彩虹小标宋"/>
          <w:b/>
          <w:sz w:val="40"/>
          <w:szCs w:val="32"/>
        </w:rPr>
      </w:pPr>
    </w:p>
    <w:p w:rsidR="005468F6" w:rsidRPr="005468F6" w:rsidRDefault="007D090A" w:rsidP="005468F6">
      <w:pPr>
        <w:adjustRightInd w:val="0"/>
        <w:snapToGrid w:val="0"/>
        <w:spacing w:line="560" w:lineRule="exact"/>
        <w:jc w:val="center"/>
        <w:rPr>
          <w:rFonts w:ascii="彩虹小标宋" w:eastAsia="彩虹小标宋"/>
          <w:b/>
          <w:sz w:val="36"/>
          <w:szCs w:val="32"/>
        </w:rPr>
      </w:pPr>
      <w:r w:rsidRPr="005468F6">
        <w:rPr>
          <w:rFonts w:ascii="彩虹小标宋" w:eastAsia="彩虹小标宋" w:hint="eastAsia"/>
          <w:b/>
          <w:sz w:val="36"/>
          <w:szCs w:val="32"/>
        </w:rPr>
        <w:t>《中国普惠金融蓝皮书（2018）》暨</w:t>
      </w:r>
    </w:p>
    <w:p w:rsidR="00797004" w:rsidRDefault="005468F6" w:rsidP="00797004">
      <w:pPr>
        <w:adjustRightInd w:val="0"/>
        <w:snapToGrid w:val="0"/>
        <w:spacing w:line="560" w:lineRule="exact"/>
        <w:jc w:val="center"/>
        <w:rPr>
          <w:rFonts w:ascii="彩虹小标宋" w:eastAsia="彩虹小标宋" w:hint="eastAsia"/>
          <w:b/>
          <w:sz w:val="36"/>
          <w:szCs w:val="32"/>
        </w:rPr>
      </w:pPr>
      <w:r w:rsidRPr="005468F6">
        <w:rPr>
          <w:rFonts w:ascii="彩虹小标宋" w:eastAsia="彩虹小标宋" w:hint="eastAsia"/>
          <w:b/>
          <w:sz w:val="36"/>
          <w:szCs w:val="32"/>
        </w:rPr>
        <w:t>“</w:t>
      </w:r>
      <w:r w:rsidR="007D090A" w:rsidRPr="005468F6">
        <w:rPr>
          <w:rFonts w:ascii="彩虹小标宋" w:eastAsia="彩虹小标宋" w:hint="eastAsia"/>
          <w:b/>
          <w:sz w:val="36"/>
          <w:szCs w:val="32"/>
        </w:rPr>
        <w:t>建行</w:t>
      </w:r>
      <w:r w:rsidR="007D090A" w:rsidRPr="005468F6">
        <w:rPr>
          <w:rFonts w:ascii="宋体" w:eastAsia="宋体" w:hAnsi="宋体" w:cs="宋体" w:hint="eastAsia"/>
          <w:b/>
          <w:sz w:val="36"/>
          <w:szCs w:val="32"/>
        </w:rPr>
        <w:t>•</w:t>
      </w:r>
      <w:r w:rsidR="007D090A" w:rsidRPr="005468F6">
        <w:rPr>
          <w:rFonts w:ascii="彩虹小标宋" w:eastAsia="彩虹小标宋" w:hAnsi="彩虹小标宋" w:cs="彩虹小标宋" w:hint="eastAsia"/>
          <w:b/>
          <w:sz w:val="36"/>
          <w:szCs w:val="32"/>
        </w:rPr>
        <w:t>新华普惠金融—</w:t>
      </w:r>
      <w:r w:rsidR="007D090A" w:rsidRPr="005468F6">
        <w:rPr>
          <w:rFonts w:ascii="彩虹小标宋" w:eastAsia="彩虹小标宋" w:hint="eastAsia"/>
          <w:b/>
          <w:sz w:val="36"/>
          <w:szCs w:val="32"/>
        </w:rPr>
        <w:t>小微指数</w:t>
      </w:r>
      <w:r w:rsidRPr="005468F6">
        <w:rPr>
          <w:rFonts w:ascii="彩虹小标宋" w:eastAsia="彩虹小标宋" w:hint="eastAsia"/>
          <w:b/>
          <w:sz w:val="36"/>
          <w:szCs w:val="32"/>
        </w:rPr>
        <w:t>”</w:t>
      </w:r>
      <w:r w:rsidR="007D090A" w:rsidRPr="005468F6">
        <w:rPr>
          <w:rFonts w:ascii="彩虹小标宋" w:eastAsia="彩虹小标宋" w:hint="eastAsia"/>
          <w:b/>
          <w:sz w:val="36"/>
          <w:szCs w:val="32"/>
        </w:rPr>
        <w:t>发布会在京举行</w:t>
      </w:r>
    </w:p>
    <w:p w:rsidR="00797004" w:rsidRDefault="00797004" w:rsidP="00797004">
      <w:pPr>
        <w:adjustRightInd w:val="0"/>
        <w:snapToGrid w:val="0"/>
        <w:spacing w:line="560" w:lineRule="exact"/>
        <w:jc w:val="center"/>
        <w:rPr>
          <w:rFonts w:ascii="彩虹小标宋" w:eastAsia="彩虹小标宋" w:hint="eastAsia"/>
          <w:b/>
          <w:sz w:val="36"/>
          <w:szCs w:val="32"/>
        </w:rPr>
      </w:pPr>
    </w:p>
    <w:p w:rsidR="00BD21D3" w:rsidRPr="00797004" w:rsidRDefault="00797004" w:rsidP="00797004">
      <w:pPr>
        <w:adjustRightInd w:val="0"/>
        <w:snapToGrid w:val="0"/>
        <w:spacing w:line="520" w:lineRule="exact"/>
        <w:jc w:val="left"/>
        <w:rPr>
          <w:rFonts w:ascii="彩虹小标宋" w:eastAsia="彩虹小标宋" w:hint="eastAsia"/>
          <w:b/>
          <w:sz w:val="36"/>
          <w:szCs w:val="32"/>
        </w:rPr>
      </w:pPr>
      <w:r>
        <w:rPr>
          <w:rFonts w:ascii="宋体" w:eastAsia="宋体" w:hAnsi="宋体" w:cs="宋体" w:hint="eastAsia"/>
          <w:sz w:val="32"/>
          <w:szCs w:val="21"/>
        </w:rPr>
        <w:t xml:space="preserve">    </w:t>
      </w:r>
      <w:r w:rsidR="0093456F" w:rsidRPr="00797004">
        <w:rPr>
          <w:rFonts w:ascii="彩虹粗仿宋" w:eastAsia="彩虹粗仿宋" w:hAnsiTheme="majorEastAsia" w:hint="eastAsia"/>
          <w:sz w:val="32"/>
          <w:szCs w:val="21"/>
        </w:rPr>
        <w:t>为贯彻落实党中央、国务院关于大力发展普惠金融的战略部署，更好地支持和服务实体经济，中国建设银行和</w:t>
      </w:r>
      <w:r w:rsidR="008314DA" w:rsidRPr="00797004">
        <w:rPr>
          <w:rFonts w:ascii="彩虹粗仿宋" w:eastAsia="彩虹粗仿宋" w:hAnsiTheme="majorEastAsia" w:hint="eastAsia"/>
          <w:sz w:val="32"/>
          <w:szCs w:val="21"/>
        </w:rPr>
        <w:t>新华社中国经济信息社</w:t>
      </w:r>
      <w:r w:rsidR="0093456F" w:rsidRPr="00797004">
        <w:rPr>
          <w:rFonts w:ascii="彩虹粗仿宋" w:eastAsia="彩虹粗仿宋" w:hAnsiTheme="majorEastAsia" w:hint="eastAsia"/>
          <w:sz w:val="32"/>
          <w:szCs w:val="21"/>
        </w:rPr>
        <w:t>10月11日共同举行《中国普惠金融蓝皮书（2018）</w:t>
      </w:r>
      <w:r w:rsidR="0093456F" w:rsidRPr="00797004">
        <w:rPr>
          <w:rFonts w:ascii="彩虹粗仿宋" w:eastAsia="彩虹粗仿宋" w:hAnsiTheme="majorEastAsia" w:cs="彩虹粗仿宋" w:hint="eastAsia"/>
          <w:sz w:val="32"/>
          <w:szCs w:val="21"/>
        </w:rPr>
        <w:t>——中国实践与国际借鉴》（以下简称“《蓝皮书》”）</w:t>
      </w:r>
      <w:r w:rsidR="0093456F" w:rsidRPr="00797004">
        <w:rPr>
          <w:rFonts w:ascii="彩虹粗仿宋" w:eastAsia="彩虹粗仿宋" w:hAnsiTheme="majorEastAsia" w:hint="eastAsia"/>
          <w:sz w:val="32"/>
          <w:szCs w:val="21"/>
        </w:rPr>
        <w:t>和“</w:t>
      </w:r>
      <w:r w:rsidR="0093456F" w:rsidRPr="00797004">
        <w:rPr>
          <w:rFonts w:ascii="彩虹粗仿宋" w:eastAsia="彩虹粗仿宋" w:hAnsiTheme="majorEastAsia" w:cs="彩虹粗仿宋" w:hint="eastAsia"/>
          <w:sz w:val="32"/>
          <w:szCs w:val="21"/>
        </w:rPr>
        <w:t>建行</w:t>
      </w:r>
      <w:r w:rsidR="0093456F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3456F" w:rsidRPr="00797004">
        <w:rPr>
          <w:rFonts w:ascii="彩虹粗仿宋" w:eastAsia="彩虹粗仿宋" w:hAnsiTheme="majorEastAsia" w:cs="彩虹粗仿宋" w:hint="eastAsia"/>
          <w:sz w:val="32"/>
          <w:szCs w:val="21"/>
        </w:rPr>
        <w:t>新华普惠金融—小微指数</w:t>
      </w:r>
      <w:r w:rsidR="0093456F" w:rsidRPr="00797004">
        <w:rPr>
          <w:rFonts w:ascii="彩虹粗仿宋" w:eastAsia="彩虹粗仿宋" w:hAnsiTheme="majorEastAsia" w:hint="eastAsia"/>
          <w:sz w:val="32"/>
          <w:szCs w:val="21"/>
        </w:rPr>
        <w:t>”</w:t>
      </w:r>
      <w:r w:rsidR="0093456F" w:rsidRPr="00797004">
        <w:rPr>
          <w:rFonts w:ascii="彩虹粗仿宋" w:eastAsia="彩虹粗仿宋" w:hAnsiTheme="majorEastAsia" w:cs="彩虹粗仿宋" w:hint="eastAsia"/>
          <w:sz w:val="32"/>
          <w:szCs w:val="21"/>
        </w:rPr>
        <w:t>（以下简称“普惠小微指数”）</w:t>
      </w:r>
      <w:r w:rsidR="0093456F" w:rsidRPr="00797004">
        <w:rPr>
          <w:rFonts w:ascii="彩虹粗仿宋" w:eastAsia="彩虹粗仿宋" w:hAnsiTheme="majorEastAsia" w:hint="eastAsia"/>
          <w:sz w:val="32"/>
          <w:szCs w:val="21"/>
        </w:rPr>
        <w:t>发布会。</w:t>
      </w:r>
    </w:p>
    <w:p w:rsidR="00471935" w:rsidRPr="00797004" w:rsidRDefault="00C1032E" w:rsidP="00797004">
      <w:pPr>
        <w:adjustRightInd w:val="0"/>
        <w:snapToGrid w:val="0"/>
        <w:spacing w:line="520" w:lineRule="exact"/>
        <w:ind w:firstLineChars="200" w:firstLine="640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发展普惠金融，是利国利民的大事、好事。</w:t>
      </w:r>
      <w:r w:rsidR="00790962" w:rsidRPr="00797004">
        <w:rPr>
          <w:rFonts w:ascii="彩虹粗仿宋" w:eastAsia="彩虹粗仿宋" w:hAnsiTheme="majorEastAsia" w:hint="eastAsia"/>
          <w:sz w:val="32"/>
          <w:szCs w:val="21"/>
        </w:rPr>
        <w:t>党中央</w:t>
      </w:r>
      <w:r w:rsidR="00BD21D3" w:rsidRPr="00797004">
        <w:rPr>
          <w:rFonts w:ascii="彩虹粗仿宋" w:eastAsia="彩虹粗仿宋" w:hAnsiTheme="majorEastAsia" w:hint="eastAsia"/>
          <w:sz w:val="32"/>
          <w:szCs w:val="21"/>
        </w:rPr>
        <w:t>、</w:t>
      </w:r>
      <w:r w:rsidR="00790962" w:rsidRPr="00797004">
        <w:rPr>
          <w:rFonts w:ascii="彩虹粗仿宋" w:eastAsia="彩虹粗仿宋" w:hAnsiTheme="majorEastAsia" w:hint="eastAsia"/>
          <w:sz w:val="32"/>
          <w:szCs w:val="21"/>
        </w:rPr>
        <w:t>国务院对发展普惠金融高度重视。</w:t>
      </w:r>
      <w:r w:rsidR="00471935" w:rsidRPr="00797004">
        <w:rPr>
          <w:rFonts w:ascii="彩虹粗仿宋" w:eastAsia="彩虹粗仿宋" w:hAnsiTheme="majorEastAsia" w:hint="eastAsia"/>
          <w:sz w:val="32"/>
          <w:szCs w:val="21"/>
        </w:rPr>
        <w:t>党的十九大报告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、</w:t>
      </w:r>
      <w:r w:rsidR="00471935" w:rsidRPr="00797004">
        <w:rPr>
          <w:rFonts w:ascii="彩虹粗仿宋" w:eastAsia="彩虹粗仿宋" w:hAnsiTheme="majorEastAsia" w:hint="eastAsia"/>
          <w:sz w:val="32"/>
          <w:szCs w:val="21"/>
        </w:rPr>
        <w:t>全国金融工作会议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都</w:t>
      </w:r>
      <w:r w:rsidR="00471935" w:rsidRPr="00797004">
        <w:rPr>
          <w:rFonts w:ascii="彩虹粗仿宋" w:eastAsia="彩虹粗仿宋" w:hAnsiTheme="majorEastAsia" w:hint="eastAsia"/>
          <w:sz w:val="32"/>
          <w:szCs w:val="21"/>
        </w:rPr>
        <w:t>强调，要建设普惠金融体系，加强对小微企业、“三农”和偏远地区的金融服务。《政府工作报告</w:t>
      </w:r>
      <w:bookmarkStart w:id="0" w:name="_GoBack"/>
      <w:bookmarkEnd w:id="0"/>
      <w:r w:rsidR="00471935" w:rsidRPr="00797004">
        <w:rPr>
          <w:rFonts w:ascii="彩虹粗仿宋" w:eastAsia="彩虹粗仿宋" w:hAnsiTheme="majorEastAsia" w:hint="eastAsia"/>
          <w:sz w:val="32"/>
          <w:szCs w:val="21"/>
        </w:rPr>
        <w:t>》也多次指出要发展普惠金融，鼓励大中型商业银行设立普惠金融事业部，支持金融机构扩展普惠金融业务。</w:t>
      </w:r>
    </w:p>
    <w:p w:rsidR="00471935" w:rsidRPr="00797004" w:rsidRDefault="00471935" w:rsidP="00797004">
      <w:pPr>
        <w:adjustRightInd w:val="0"/>
        <w:snapToGrid w:val="0"/>
        <w:spacing w:line="520" w:lineRule="exact"/>
        <w:ind w:firstLineChars="200" w:firstLine="640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建设银行董事长</w:t>
      </w:r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田国立在致辞中指出，</w:t>
      </w:r>
      <w:r w:rsidR="00456FDD" w:rsidRPr="00797004">
        <w:rPr>
          <w:rFonts w:ascii="彩虹粗仿宋" w:eastAsia="彩虹粗仿宋" w:hAnsiTheme="majorEastAsia" w:cs="宋体" w:hint="eastAsia"/>
          <w:sz w:val="32"/>
          <w:szCs w:val="21"/>
        </w:rPr>
        <w:t>银行属于服务业，是实实在在为大众服务的机构。</w:t>
      </w:r>
      <w:r w:rsidR="00456FDD" w:rsidRPr="00797004">
        <w:rPr>
          <w:rFonts w:ascii="彩虹粗仿宋" w:eastAsia="彩虹粗仿宋" w:hAnsiTheme="majorEastAsia" w:hint="eastAsia"/>
          <w:sz w:val="32"/>
          <w:szCs w:val="21"/>
        </w:rPr>
        <w:t>当前，建行确立“住房租赁、</w:t>
      </w:r>
      <w:r w:rsidR="0039636C" w:rsidRPr="00797004">
        <w:rPr>
          <w:rFonts w:ascii="彩虹粗仿宋" w:eastAsia="彩虹粗仿宋" w:hAnsiTheme="majorEastAsia" w:hint="eastAsia"/>
          <w:sz w:val="32"/>
          <w:szCs w:val="21"/>
        </w:rPr>
        <w:t>金融科技、</w:t>
      </w:r>
      <w:r w:rsidR="00456FDD" w:rsidRPr="00797004">
        <w:rPr>
          <w:rFonts w:ascii="彩虹粗仿宋" w:eastAsia="彩虹粗仿宋" w:hAnsiTheme="majorEastAsia" w:hint="eastAsia"/>
          <w:sz w:val="32"/>
          <w:szCs w:val="21"/>
        </w:rPr>
        <w:t>普惠金融”三大战略，</w:t>
      </w:r>
      <w:r w:rsidR="00BD21D3" w:rsidRPr="00797004">
        <w:rPr>
          <w:rFonts w:ascii="彩虹粗仿宋" w:eastAsia="彩虹粗仿宋" w:hAnsiTheme="majorEastAsia" w:hint="eastAsia"/>
          <w:sz w:val="32"/>
          <w:szCs w:val="21"/>
        </w:rPr>
        <w:t>在全行建设“</w:t>
      </w:r>
      <w:r w:rsidR="00456FDD" w:rsidRPr="00797004">
        <w:rPr>
          <w:rFonts w:ascii="彩虹粗仿宋" w:eastAsia="彩虹粗仿宋" w:hAnsiTheme="majorEastAsia" w:hint="eastAsia"/>
          <w:sz w:val="32"/>
          <w:szCs w:val="21"/>
        </w:rPr>
        <w:t>劳动者港湾</w:t>
      </w:r>
      <w:r w:rsidR="00BD21D3" w:rsidRPr="00797004">
        <w:rPr>
          <w:rFonts w:ascii="彩虹粗仿宋" w:eastAsia="彩虹粗仿宋" w:hAnsiTheme="majorEastAsia" w:hint="eastAsia"/>
          <w:sz w:val="32"/>
          <w:szCs w:val="21"/>
        </w:rPr>
        <w:t>”</w:t>
      </w:r>
      <w:r w:rsidR="00456FDD" w:rsidRPr="00797004">
        <w:rPr>
          <w:rFonts w:ascii="彩虹粗仿宋" w:eastAsia="彩虹粗仿宋" w:hAnsiTheme="majorEastAsia" w:hint="eastAsia"/>
          <w:sz w:val="32"/>
          <w:szCs w:val="21"/>
        </w:rPr>
        <w:t>，正是在积极探索以金融力量解决社会痛点问题，回馈社会、回馈百姓。</w:t>
      </w:r>
      <w:r w:rsidR="008F633E" w:rsidRPr="00797004">
        <w:rPr>
          <w:rFonts w:ascii="彩虹粗仿宋" w:eastAsia="彩虹粗仿宋" w:hAnsiTheme="majorEastAsia" w:hint="eastAsia"/>
          <w:sz w:val="32"/>
          <w:szCs w:val="21"/>
        </w:rPr>
        <w:t>建行实施的</w:t>
      </w:r>
      <w:r w:rsidR="00470249" w:rsidRPr="00797004">
        <w:rPr>
          <w:rFonts w:ascii="彩虹粗仿宋" w:eastAsia="彩虹粗仿宋" w:hAnsiTheme="majorEastAsia" w:hint="eastAsia"/>
          <w:sz w:val="32"/>
          <w:szCs w:val="21"/>
        </w:rPr>
        <w:t>普惠金融战略，</w:t>
      </w:r>
      <w:r w:rsidR="00456FDD" w:rsidRPr="00797004">
        <w:rPr>
          <w:rFonts w:ascii="彩虹粗仿宋" w:eastAsia="彩虹粗仿宋" w:hAnsiTheme="majorEastAsia" w:hint="eastAsia"/>
          <w:sz w:val="32"/>
          <w:szCs w:val="21"/>
        </w:rPr>
        <w:t>是广大群众实现“中国梦”和增强获得感的有效途径，也是国有大行服务实体经济的职责所在。</w:t>
      </w:r>
    </w:p>
    <w:p w:rsidR="00456FDD" w:rsidRPr="00797004" w:rsidRDefault="00456FDD" w:rsidP="00797004">
      <w:pPr>
        <w:adjustRightInd w:val="0"/>
        <w:snapToGrid w:val="0"/>
        <w:spacing w:line="520" w:lineRule="exact"/>
        <w:ind w:firstLineChars="200" w:firstLine="640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田国立</w:t>
      </w:r>
      <w:r w:rsidR="00BD21D3" w:rsidRPr="00797004">
        <w:rPr>
          <w:rFonts w:ascii="彩虹粗仿宋" w:eastAsia="彩虹粗仿宋" w:hAnsiTheme="majorEastAsia" w:hint="eastAsia"/>
          <w:sz w:val="32"/>
          <w:szCs w:val="21"/>
        </w:rPr>
        <w:t>强调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，金融工作说到底是社会实践工作，建行实施“三大战略”，是一场深刻的金融启蒙运动。</w:t>
      </w:r>
      <w:r w:rsidRPr="00797004">
        <w:rPr>
          <w:rFonts w:ascii="彩虹粗仿宋" w:eastAsia="彩虹粗仿宋" w:hAnsiTheme="majorEastAsia" w:cs="宋体" w:hint="eastAsia"/>
          <w:sz w:val="32"/>
          <w:szCs w:val="21"/>
        </w:rPr>
        <w:t>不仅要解决</w:t>
      </w:r>
      <w:r w:rsidRPr="00797004">
        <w:rPr>
          <w:rFonts w:ascii="彩虹粗仿宋" w:eastAsia="彩虹粗仿宋" w:hAnsiTheme="majorEastAsia" w:cs="宋体" w:hint="eastAsia"/>
          <w:sz w:val="32"/>
          <w:szCs w:val="21"/>
        </w:rPr>
        <w:lastRenderedPageBreak/>
        <w:t>小</w:t>
      </w:r>
      <w:proofErr w:type="gramStart"/>
      <w:r w:rsidRPr="00797004">
        <w:rPr>
          <w:rFonts w:ascii="彩虹粗仿宋" w:eastAsia="彩虹粗仿宋" w:hAnsiTheme="majorEastAsia" w:cs="宋体" w:hint="eastAsia"/>
          <w:sz w:val="32"/>
          <w:szCs w:val="21"/>
        </w:rPr>
        <w:t>微企业</w:t>
      </w:r>
      <w:proofErr w:type="gramEnd"/>
      <w:r w:rsidRPr="00797004">
        <w:rPr>
          <w:rFonts w:ascii="彩虹粗仿宋" w:eastAsia="彩虹粗仿宋" w:hAnsiTheme="majorEastAsia" w:cs="宋体" w:hint="eastAsia"/>
          <w:sz w:val="32"/>
          <w:szCs w:val="21"/>
        </w:rPr>
        <w:t>融资难题，还要以根植于心的热忱去了解、关心和关爱更多普惠金融群体，向</w:t>
      </w:r>
      <w:r w:rsidRPr="00797004">
        <w:rPr>
          <w:rFonts w:ascii="彩虹粗仿宋" w:eastAsia="彩虹粗仿宋" w:hAnsiTheme="majorEastAsia" w:cs="宋体" w:hint="eastAsia"/>
          <w:bCs/>
          <w:color w:val="000000"/>
          <w:kern w:val="0"/>
          <w:sz w:val="32"/>
          <w:szCs w:val="21"/>
        </w:rPr>
        <w:t>全社会输出金融和非金融服务。</w:t>
      </w:r>
      <w:r w:rsidR="00790962" w:rsidRPr="00797004">
        <w:rPr>
          <w:rFonts w:ascii="彩虹粗仿宋" w:eastAsia="彩虹粗仿宋" w:hAnsiTheme="majorEastAsia" w:hint="eastAsia"/>
          <w:color w:val="000000"/>
          <w:sz w:val="32"/>
          <w:szCs w:val="21"/>
        </w:rPr>
        <w:t>此次发布的</w:t>
      </w:r>
      <w:r w:rsidR="00790962" w:rsidRPr="00797004">
        <w:rPr>
          <w:rFonts w:ascii="彩虹粗仿宋" w:eastAsia="彩虹粗仿宋" w:hAnsiTheme="majorEastAsia" w:cs="彩虹粗仿宋" w:hint="eastAsia"/>
          <w:sz w:val="32"/>
          <w:szCs w:val="21"/>
        </w:rPr>
        <w:t>两项研究成果</w:t>
      </w:r>
      <w:r w:rsidR="00790962" w:rsidRPr="00797004">
        <w:rPr>
          <w:rFonts w:ascii="彩虹粗仿宋" w:eastAsia="彩虹粗仿宋" w:hAnsiTheme="majorEastAsia" w:cs="宋体" w:hint="eastAsia"/>
          <w:sz w:val="32"/>
          <w:szCs w:val="21"/>
        </w:rPr>
        <w:t>，正是</w:t>
      </w:r>
      <w:r w:rsidR="00790962" w:rsidRPr="00797004">
        <w:rPr>
          <w:rFonts w:ascii="彩虹粗仿宋" w:eastAsia="彩虹粗仿宋" w:hAnsiTheme="majorEastAsia" w:hint="eastAsia"/>
          <w:sz w:val="32"/>
          <w:szCs w:val="21"/>
        </w:rPr>
        <w:t>发挥银行、专业媒体、高校等社会各界力量，推动产学研跨界协同，建立普惠金融研究智库，打造我国普惠金融运行状况的</w:t>
      </w:r>
      <w:r w:rsidR="00E35477" w:rsidRPr="00797004">
        <w:rPr>
          <w:rFonts w:ascii="彩虹粗仿宋" w:eastAsia="彩虹粗仿宋" w:hAnsiTheme="majorEastAsia" w:hint="eastAsia"/>
          <w:sz w:val="32"/>
          <w:szCs w:val="21"/>
        </w:rPr>
        <w:t>“</w:t>
      </w:r>
      <w:r w:rsidR="00790962" w:rsidRPr="00797004">
        <w:rPr>
          <w:rFonts w:ascii="彩虹粗仿宋" w:eastAsia="彩虹粗仿宋" w:hAnsiTheme="majorEastAsia" w:hint="eastAsia"/>
          <w:sz w:val="32"/>
          <w:szCs w:val="21"/>
        </w:rPr>
        <w:t>晴雨表</w:t>
      </w:r>
      <w:r w:rsidR="00E35477" w:rsidRPr="00797004">
        <w:rPr>
          <w:rFonts w:ascii="彩虹粗仿宋" w:eastAsia="彩虹粗仿宋" w:hAnsiTheme="majorEastAsia" w:hint="eastAsia"/>
          <w:sz w:val="32"/>
          <w:szCs w:val="21"/>
        </w:rPr>
        <w:t>”</w:t>
      </w:r>
      <w:r w:rsidR="00790962" w:rsidRPr="00797004">
        <w:rPr>
          <w:rFonts w:ascii="彩虹粗仿宋" w:eastAsia="彩虹粗仿宋" w:hAnsiTheme="majorEastAsia" w:hint="eastAsia"/>
          <w:sz w:val="32"/>
          <w:szCs w:val="21"/>
        </w:rPr>
        <w:t>，为普惠金融产品、模式、机制创新提供决策支撑。</w:t>
      </w:r>
    </w:p>
    <w:p w:rsidR="00471935" w:rsidRPr="00797004" w:rsidRDefault="00471935" w:rsidP="00797004">
      <w:pPr>
        <w:adjustRightInd w:val="0"/>
        <w:snapToGrid w:val="0"/>
        <w:spacing w:line="520" w:lineRule="exact"/>
        <w:ind w:firstLine="645"/>
        <w:rPr>
          <w:rFonts w:ascii="彩虹粗仿宋" w:eastAsia="彩虹粗仿宋" w:hAnsiTheme="majorEastAsia" w:cs="彩虹粗仿宋" w:hint="eastAsia"/>
          <w:sz w:val="32"/>
          <w:szCs w:val="21"/>
        </w:rPr>
      </w:pPr>
      <w:r w:rsidRPr="00797004">
        <w:rPr>
          <w:rFonts w:ascii="彩虹粗仿宋" w:eastAsia="彩虹粗仿宋" w:hAnsiTheme="majorEastAsia" w:cs="彩虹粗仿宋" w:hint="eastAsia"/>
          <w:sz w:val="32"/>
          <w:szCs w:val="21"/>
        </w:rPr>
        <w:t>新华社副社长兼秘书长</w:t>
      </w:r>
      <w:r w:rsidR="00680D05" w:rsidRPr="00797004">
        <w:rPr>
          <w:rFonts w:ascii="彩虹粗仿宋" w:eastAsia="彩虹粗仿宋" w:hAnsiTheme="majorEastAsia" w:cs="彩虹粗仿宋" w:hint="eastAsia"/>
          <w:sz w:val="32"/>
          <w:szCs w:val="21"/>
        </w:rPr>
        <w:t>刘正荣表示，</w:t>
      </w:r>
      <w:r w:rsidR="00E35477" w:rsidRPr="00797004">
        <w:rPr>
          <w:rFonts w:ascii="彩虹粗仿宋" w:eastAsia="彩虹粗仿宋" w:hAnsiTheme="majorEastAsia" w:cs="彩虹粗仿宋" w:hint="eastAsia"/>
          <w:sz w:val="32"/>
          <w:szCs w:val="21"/>
        </w:rPr>
        <w:t>不断提高金融服务的覆盖率</w:t>
      </w:r>
      <w:r w:rsidRPr="00797004">
        <w:rPr>
          <w:rFonts w:ascii="彩虹粗仿宋" w:eastAsia="彩虹粗仿宋" w:hAnsiTheme="majorEastAsia" w:cs="彩虹粗仿宋" w:hint="eastAsia"/>
          <w:sz w:val="32"/>
          <w:szCs w:val="21"/>
        </w:rPr>
        <w:t>、可得性和满意度，使广大人民群众公平分享金融改革发展的成果，</w:t>
      </w:r>
      <w:r w:rsidR="00E35477" w:rsidRPr="00797004">
        <w:rPr>
          <w:rFonts w:ascii="彩虹粗仿宋" w:eastAsia="彩虹粗仿宋" w:hAnsiTheme="majorEastAsia" w:cs="彩虹粗仿宋" w:hint="eastAsia"/>
          <w:sz w:val="32"/>
          <w:szCs w:val="21"/>
        </w:rPr>
        <w:t>是我国发展普惠金融的“初心”。要把</w:t>
      </w:r>
      <w:r w:rsidR="00C1032E" w:rsidRPr="00797004">
        <w:rPr>
          <w:rFonts w:ascii="彩虹粗仿宋" w:eastAsia="彩虹粗仿宋" w:hAnsiTheme="majorEastAsia" w:cs="彩虹粗仿宋" w:hint="eastAsia"/>
          <w:sz w:val="32"/>
          <w:szCs w:val="21"/>
        </w:rPr>
        <w:t>发展普惠金融</w:t>
      </w:r>
      <w:r w:rsidR="00E35477" w:rsidRPr="00797004">
        <w:rPr>
          <w:rFonts w:ascii="彩虹粗仿宋" w:eastAsia="彩虹粗仿宋" w:hAnsiTheme="majorEastAsia" w:cs="彩虹粗仿宋" w:hint="eastAsia"/>
          <w:sz w:val="32"/>
          <w:szCs w:val="21"/>
        </w:rPr>
        <w:t>这件好事办好，除了需要银行等金融机构大力投入，更需要全社会的共同努力。《蓝皮书》和</w:t>
      </w:r>
      <w:r w:rsidR="00470249" w:rsidRPr="00797004">
        <w:rPr>
          <w:rFonts w:ascii="彩虹粗仿宋" w:eastAsia="彩虹粗仿宋" w:hAnsiTheme="majorEastAsia" w:cs="彩虹粗仿宋" w:hint="eastAsia"/>
          <w:sz w:val="32"/>
          <w:szCs w:val="21"/>
        </w:rPr>
        <w:t>普惠小</w:t>
      </w:r>
      <w:proofErr w:type="gramStart"/>
      <w:r w:rsidR="00470249" w:rsidRPr="00797004">
        <w:rPr>
          <w:rFonts w:ascii="彩虹粗仿宋" w:eastAsia="彩虹粗仿宋" w:hAnsiTheme="majorEastAsia" w:cs="彩虹粗仿宋" w:hint="eastAsia"/>
          <w:sz w:val="32"/>
          <w:szCs w:val="21"/>
        </w:rPr>
        <w:t>微指数</w:t>
      </w:r>
      <w:proofErr w:type="gramEnd"/>
      <w:r w:rsidR="00E35477" w:rsidRPr="00797004">
        <w:rPr>
          <w:rFonts w:ascii="彩虹粗仿宋" w:eastAsia="彩虹粗仿宋" w:hAnsiTheme="majorEastAsia" w:cs="彩虹粗仿宋" w:hint="eastAsia"/>
          <w:sz w:val="32"/>
          <w:szCs w:val="21"/>
        </w:rPr>
        <w:t>就是建设银行和新华社中国经济信息社发挥各自优势，在普惠金融领域一次重要尝试。</w:t>
      </w:r>
    </w:p>
    <w:p w:rsidR="00680D05" w:rsidRPr="00797004" w:rsidRDefault="00B877AF" w:rsidP="00797004">
      <w:pPr>
        <w:adjustRightInd w:val="0"/>
        <w:snapToGrid w:val="0"/>
        <w:spacing w:line="520" w:lineRule="exact"/>
        <w:ind w:firstLine="640"/>
        <w:jc w:val="left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中国</w:t>
      </w:r>
      <w:r w:rsidR="00680D05" w:rsidRPr="00797004">
        <w:rPr>
          <w:rFonts w:ascii="彩虹粗仿宋" w:eastAsia="彩虹粗仿宋" w:hAnsiTheme="majorEastAsia" w:hint="eastAsia"/>
          <w:sz w:val="32"/>
          <w:szCs w:val="21"/>
        </w:rPr>
        <w:t>人民银行金融消费权益保护局局长余文建指出，</w:t>
      </w:r>
      <w:r w:rsidR="00471935" w:rsidRPr="00797004">
        <w:rPr>
          <w:rFonts w:ascii="彩虹粗仿宋" w:eastAsia="彩虹粗仿宋" w:hAnsiTheme="majorEastAsia" w:cs="彩虹粗仿宋" w:hint="eastAsia"/>
          <w:sz w:val="32"/>
          <w:szCs w:val="21"/>
        </w:rPr>
        <w:t>《蓝皮书》</w:t>
      </w:r>
      <w:r w:rsidR="00471935" w:rsidRPr="00797004">
        <w:rPr>
          <w:rFonts w:ascii="彩虹粗仿宋" w:eastAsia="彩虹粗仿宋" w:hAnsiTheme="majorEastAsia" w:hint="eastAsia"/>
          <w:sz w:val="32"/>
          <w:szCs w:val="21"/>
        </w:rPr>
        <w:t>的起草和发布，必将推动中国普惠金融研究更加深入。普惠金融是一个全新的领域，有许多亟待探讨和解决的理论和现实问题，希望有更多的机构参与到普惠金融研究中来，更希望社会各界都能重视普惠金融工作、支持普惠金融工作。</w:t>
      </w:r>
    </w:p>
    <w:p w:rsidR="005E097E" w:rsidRPr="00797004" w:rsidRDefault="00680D05" w:rsidP="00797004">
      <w:pPr>
        <w:adjustRightInd w:val="0"/>
        <w:snapToGrid w:val="0"/>
        <w:spacing w:line="520" w:lineRule="exact"/>
        <w:ind w:firstLineChars="200" w:firstLine="640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据悉，</w:t>
      </w:r>
      <w:r w:rsidRPr="00797004">
        <w:rPr>
          <w:rFonts w:ascii="彩虹粗仿宋" w:eastAsia="彩虹粗仿宋" w:hAnsiTheme="majorEastAsia" w:cs="彩虹粗仿宋" w:hint="eastAsia"/>
          <w:sz w:val="32"/>
          <w:szCs w:val="21"/>
        </w:rPr>
        <w:t>《蓝皮书》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分为七部分，</w:t>
      </w:r>
      <w:r w:rsidR="009B69D7" w:rsidRPr="00797004">
        <w:rPr>
          <w:rFonts w:ascii="彩虹粗仿宋" w:eastAsia="彩虹粗仿宋" w:hAnsiTheme="majorEastAsia" w:hint="eastAsia"/>
          <w:sz w:val="32"/>
          <w:szCs w:val="21"/>
        </w:rPr>
        <w:t>普惠金融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包容性发展、现状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方兴未艾、政府实践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主动作为、产品与服务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多元化广覆盖、金融科技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赋能普惠、国际比较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他山之石、展望</w:t>
      </w:r>
      <w:r w:rsidR="009B69D7" w:rsidRPr="00797004">
        <w:rPr>
          <w:rFonts w:ascii="宋体" w:eastAsia="宋体" w:hAnsi="宋体" w:cs="宋体" w:hint="eastAsia"/>
          <w:sz w:val="32"/>
          <w:szCs w:val="21"/>
        </w:rPr>
        <w:t>•</w:t>
      </w:r>
      <w:r w:rsidR="009B69D7" w:rsidRPr="00797004">
        <w:rPr>
          <w:rFonts w:ascii="彩虹粗仿宋" w:eastAsia="彩虹粗仿宋" w:hAnsiTheme="majorEastAsia" w:cs="彩虹粗仿宋" w:hint="eastAsia"/>
          <w:sz w:val="32"/>
          <w:szCs w:val="21"/>
        </w:rPr>
        <w:t>未来可期，</w:t>
      </w:r>
      <w:r w:rsidR="00470249" w:rsidRPr="00797004">
        <w:rPr>
          <w:rFonts w:ascii="彩虹粗仿宋" w:eastAsia="彩虹粗仿宋" w:hAnsiTheme="majorEastAsia" w:hint="eastAsia"/>
          <w:sz w:val="32"/>
          <w:szCs w:val="21"/>
        </w:rPr>
        <w:t>明确了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普惠金融的</w:t>
      </w:r>
      <w:r w:rsidR="009B69D7" w:rsidRPr="00797004">
        <w:rPr>
          <w:rFonts w:ascii="彩虹粗仿宋" w:eastAsia="彩虹粗仿宋" w:hAnsiTheme="majorEastAsia" w:hint="eastAsia"/>
          <w:sz w:val="32"/>
          <w:szCs w:val="21"/>
        </w:rPr>
        <w:t>基本概念和理论体系，介绍了普惠金融体系、机构建设和服务现状，从政府、市场机构以及金融科技三个方面探讨了国内实践，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并在</w:t>
      </w:r>
      <w:r w:rsidR="009B69D7" w:rsidRPr="00797004">
        <w:rPr>
          <w:rFonts w:ascii="彩虹粗仿宋" w:eastAsia="彩虹粗仿宋" w:hAnsiTheme="majorEastAsia" w:hint="eastAsia"/>
          <w:sz w:val="32"/>
          <w:szCs w:val="21"/>
        </w:rPr>
        <w:t>回顾过去国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外发展实践的基础上，梳理存在的问题和挑战，总结可借鉴的经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lastRenderedPageBreak/>
        <w:t>验，提出我国普惠金融未来发展中的机遇与挑战、趋势</w:t>
      </w:r>
      <w:proofErr w:type="gramStart"/>
      <w:r w:rsidRPr="00797004">
        <w:rPr>
          <w:rFonts w:ascii="彩虹粗仿宋" w:eastAsia="彩虹粗仿宋" w:hAnsiTheme="majorEastAsia" w:hint="eastAsia"/>
          <w:sz w:val="32"/>
          <w:szCs w:val="21"/>
        </w:rPr>
        <w:t>研</w:t>
      </w:r>
      <w:proofErr w:type="gramEnd"/>
      <w:r w:rsidRPr="00797004">
        <w:rPr>
          <w:rFonts w:ascii="彩虹粗仿宋" w:eastAsia="彩虹粗仿宋" w:hAnsiTheme="majorEastAsia" w:hint="eastAsia"/>
          <w:sz w:val="32"/>
          <w:szCs w:val="21"/>
        </w:rPr>
        <w:t>判和政策建议等，以期在新时代背景下为推动普惠金融体系建设、促进普惠金融在国内的健康发展提供有益参考。</w:t>
      </w:r>
    </w:p>
    <w:p w:rsidR="005E097E" w:rsidRPr="00797004" w:rsidRDefault="008F633E" w:rsidP="00797004">
      <w:pPr>
        <w:adjustRightInd w:val="0"/>
        <w:snapToGrid w:val="0"/>
        <w:spacing w:line="520" w:lineRule="exact"/>
        <w:ind w:firstLineChars="200" w:firstLine="640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普惠小</w:t>
      </w:r>
      <w:proofErr w:type="gramStart"/>
      <w:r w:rsidRPr="00797004">
        <w:rPr>
          <w:rFonts w:ascii="彩虹粗仿宋" w:eastAsia="彩虹粗仿宋" w:hAnsiTheme="majorEastAsia" w:hint="eastAsia"/>
          <w:sz w:val="32"/>
          <w:szCs w:val="21"/>
        </w:rPr>
        <w:t>微指数</w:t>
      </w:r>
      <w:proofErr w:type="gramEnd"/>
      <w:r w:rsidR="00680D05" w:rsidRPr="00797004">
        <w:rPr>
          <w:rFonts w:ascii="彩虹粗仿宋" w:eastAsia="彩虹粗仿宋" w:hAnsiTheme="majorEastAsia" w:hint="eastAsia"/>
          <w:sz w:val="32"/>
          <w:szCs w:val="21"/>
        </w:rPr>
        <w:t>以</w:t>
      </w:r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小</w:t>
      </w:r>
      <w:proofErr w:type="gramStart"/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微企业</w:t>
      </w:r>
      <w:proofErr w:type="gramEnd"/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服务主体为切入点，以大数据分析为手段，对知名电商平台小微商家、建设银行小</w:t>
      </w:r>
      <w:proofErr w:type="gramStart"/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微客户</w:t>
      </w:r>
      <w:proofErr w:type="gramEnd"/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进行问卷调查，并采集了新三板、银行、具有较高资质的小贷公司、新兴科技渠道的金融服务商积累的相关数据，统筹客观数据分析和主观问卷调查信息，综合</w:t>
      </w:r>
      <w:proofErr w:type="gramStart"/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考量</w:t>
      </w:r>
      <w:proofErr w:type="gramEnd"/>
      <w:r w:rsidR="005E097E" w:rsidRPr="00797004">
        <w:rPr>
          <w:rFonts w:ascii="彩虹粗仿宋" w:eastAsia="彩虹粗仿宋" w:hAnsiTheme="majorEastAsia" w:hint="eastAsia"/>
          <w:sz w:val="32"/>
          <w:szCs w:val="21"/>
        </w:rPr>
        <w:t>普惠金融的供给方和需求方，构建了小微融资指数、服务指数、发展指数和营商指数四大体系</w:t>
      </w:r>
      <w:r w:rsidR="00537828" w:rsidRPr="00797004">
        <w:rPr>
          <w:rFonts w:ascii="彩虹粗仿宋" w:eastAsia="彩虹粗仿宋" w:hAnsiTheme="majorEastAsia" w:hint="eastAsia"/>
          <w:sz w:val="32"/>
          <w:szCs w:val="21"/>
        </w:rPr>
        <w:t>，旨在全面刻画小</w:t>
      </w:r>
      <w:proofErr w:type="gramStart"/>
      <w:r w:rsidR="00537828" w:rsidRPr="00797004">
        <w:rPr>
          <w:rFonts w:ascii="彩虹粗仿宋" w:eastAsia="彩虹粗仿宋" w:hAnsiTheme="majorEastAsia" w:hint="eastAsia"/>
          <w:sz w:val="32"/>
          <w:szCs w:val="21"/>
        </w:rPr>
        <w:t>微企业</w:t>
      </w:r>
      <w:proofErr w:type="gramEnd"/>
      <w:r w:rsidR="00537828" w:rsidRPr="00797004">
        <w:rPr>
          <w:rFonts w:ascii="彩虹粗仿宋" w:eastAsia="彩虹粗仿宋" w:hAnsiTheme="majorEastAsia" w:hint="eastAsia"/>
          <w:sz w:val="32"/>
          <w:szCs w:val="21"/>
        </w:rPr>
        <w:t>普惠金融运行态势与发展状况，打造中国普惠金融的“晴雨表”和“指南针”，为政策扶持、金融支持和相关配套服务提供技术支撑，更好地服务实体经济，推动包容性增长。</w:t>
      </w:r>
    </w:p>
    <w:p w:rsidR="001A63FF" w:rsidRPr="00797004" w:rsidRDefault="00471935" w:rsidP="00797004">
      <w:pPr>
        <w:adjustRightInd w:val="0"/>
        <w:snapToGrid w:val="0"/>
        <w:spacing w:line="520" w:lineRule="exact"/>
        <w:ind w:firstLineChars="200" w:firstLine="640"/>
        <w:rPr>
          <w:rFonts w:ascii="彩虹粗仿宋" w:eastAsia="彩虹粗仿宋" w:hAnsiTheme="majorEastAsia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自2016年起，建设银行积极运用金融科技，突破传统业务模式，推出线上融资服务“小微快贷”，成为大银行服务小微企业、助力解决社会痛点的典型范例。2017年，</w:t>
      </w:r>
      <w:r w:rsidR="008F633E" w:rsidRPr="00797004">
        <w:rPr>
          <w:rFonts w:ascii="彩虹粗仿宋" w:eastAsia="彩虹粗仿宋" w:hAnsiTheme="majorEastAsia" w:hint="eastAsia"/>
          <w:sz w:val="32"/>
          <w:szCs w:val="21"/>
        </w:rPr>
        <w:t>该行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普惠金融贷款新增居同业首位，成为唯一达到人民银行普惠金融最高激励目标的国有大行。今年</w:t>
      </w:r>
      <w:r w:rsidR="00144DEC" w:rsidRPr="00797004">
        <w:rPr>
          <w:rFonts w:ascii="彩虹粗仿宋" w:eastAsia="彩虹粗仿宋" w:hAnsiTheme="majorEastAsia" w:hint="eastAsia"/>
          <w:sz w:val="32"/>
          <w:szCs w:val="21"/>
        </w:rPr>
        <w:t>5月</w:t>
      </w:r>
      <w:r w:rsidR="008F633E" w:rsidRPr="00797004">
        <w:rPr>
          <w:rFonts w:ascii="彩虹粗仿宋" w:eastAsia="彩虹粗仿宋" w:hAnsiTheme="majorEastAsia" w:hint="eastAsia"/>
          <w:sz w:val="32"/>
          <w:szCs w:val="21"/>
        </w:rPr>
        <w:t>，</w:t>
      </w:r>
      <w:r w:rsidR="00C1032E" w:rsidRPr="00797004">
        <w:rPr>
          <w:rFonts w:ascii="彩虹粗仿宋" w:eastAsia="彩虹粗仿宋" w:hAnsiTheme="majorEastAsia" w:hint="eastAsia"/>
          <w:sz w:val="32"/>
          <w:szCs w:val="21"/>
        </w:rPr>
        <w:t>建设银行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率先</w:t>
      </w:r>
      <w:r w:rsidR="002332B6" w:rsidRPr="00797004">
        <w:rPr>
          <w:rFonts w:ascii="彩虹粗仿宋" w:eastAsia="彩虹粗仿宋" w:hAnsiTheme="majorEastAsia" w:hint="eastAsia"/>
          <w:sz w:val="32"/>
          <w:szCs w:val="21"/>
        </w:rPr>
        <w:t>宣布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将普惠金融确定为全行发展战略</w:t>
      </w:r>
      <w:r w:rsidR="002332B6" w:rsidRPr="00797004">
        <w:rPr>
          <w:rFonts w:ascii="彩虹粗仿宋" w:eastAsia="彩虹粗仿宋" w:hAnsiTheme="majorEastAsia" w:hint="eastAsia"/>
          <w:sz w:val="32"/>
          <w:szCs w:val="21"/>
        </w:rPr>
        <w:t>，随后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推出</w:t>
      </w:r>
      <w:r w:rsidR="00144DEC" w:rsidRPr="00797004">
        <w:rPr>
          <w:rFonts w:ascii="彩虹粗仿宋" w:eastAsia="彩虹粗仿宋" w:hAnsiTheme="majorEastAsia" w:hint="eastAsia"/>
          <w:sz w:val="32"/>
          <w:szCs w:val="21"/>
        </w:rPr>
        <w:t>大数据产品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“建行惠懂你”APP，实现“小微快贷”线上一站式办理</w:t>
      </w:r>
      <w:r w:rsidR="005468F6" w:rsidRPr="00797004">
        <w:rPr>
          <w:rFonts w:ascii="彩虹粗仿宋" w:eastAsia="彩虹粗仿宋" w:hAnsiTheme="majorEastAsia" w:hint="eastAsia"/>
          <w:sz w:val="32"/>
          <w:szCs w:val="21"/>
        </w:rPr>
        <w:t>，为小</w:t>
      </w:r>
      <w:proofErr w:type="gramStart"/>
      <w:r w:rsidR="005468F6" w:rsidRPr="00797004">
        <w:rPr>
          <w:rFonts w:ascii="彩虹粗仿宋" w:eastAsia="彩虹粗仿宋" w:hAnsiTheme="majorEastAsia" w:hint="eastAsia"/>
          <w:sz w:val="32"/>
          <w:szCs w:val="21"/>
        </w:rPr>
        <w:t>微企业</w:t>
      </w:r>
      <w:proofErr w:type="gramEnd"/>
      <w:r w:rsidR="005468F6" w:rsidRPr="00797004">
        <w:rPr>
          <w:rFonts w:ascii="彩虹粗仿宋" w:eastAsia="彩虹粗仿宋" w:hAnsiTheme="majorEastAsia" w:hint="eastAsia"/>
          <w:sz w:val="32"/>
          <w:szCs w:val="21"/>
        </w:rPr>
        <w:t>发展</w:t>
      </w:r>
      <w:r w:rsidR="002332B6" w:rsidRPr="00797004">
        <w:rPr>
          <w:rFonts w:ascii="彩虹粗仿宋" w:eastAsia="彩虹粗仿宋" w:hAnsiTheme="majorEastAsia" w:hint="eastAsia"/>
          <w:sz w:val="32"/>
          <w:szCs w:val="21"/>
        </w:rPr>
        <w:t>提供</w:t>
      </w:r>
      <w:r w:rsidR="005468F6" w:rsidRPr="00797004">
        <w:rPr>
          <w:rFonts w:ascii="彩虹粗仿宋" w:eastAsia="彩虹粗仿宋" w:hAnsiTheme="majorEastAsia" w:hint="eastAsia"/>
          <w:sz w:val="32"/>
          <w:szCs w:val="21"/>
        </w:rPr>
        <w:t>更加高效</w:t>
      </w:r>
      <w:r w:rsidR="002332B6" w:rsidRPr="00797004">
        <w:rPr>
          <w:rFonts w:ascii="彩虹粗仿宋" w:eastAsia="彩虹粗仿宋" w:hAnsiTheme="majorEastAsia" w:hint="eastAsia"/>
          <w:sz w:val="32"/>
          <w:szCs w:val="21"/>
        </w:rPr>
        <w:t>的</w:t>
      </w:r>
      <w:r w:rsidR="005468F6" w:rsidRPr="00797004">
        <w:rPr>
          <w:rFonts w:ascii="彩虹粗仿宋" w:eastAsia="彩虹粗仿宋" w:hAnsiTheme="majorEastAsia" w:hint="eastAsia"/>
          <w:sz w:val="32"/>
          <w:szCs w:val="21"/>
        </w:rPr>
        <w:t>融资服务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。</w:t>
      </w:r>
      <w:r w:rsidR="00144DEC" w:rsidRPr="00797004">
        <w:rPr>
          <w:rFonts w:ascii="彩虹粗仿宋" w:eastAsia="彩虹粗仿宋" w:hAnsiTheme="majorEastAsia" w:hint="eastAsia"/>
          <w:sz w:val="32"/>
          <w:szCs w:val="21"/>
        </w:rPr>
        <w:t>数据显示，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截至7月末，</w:t>
      </w:r>
      <w:r w:rsidR="00144DEC" w:rsidRPr="00797004">
        <w:rPr>
          <w:rFonts w:ascii="彩虹粗仿宋" w:eastAsia="彩虹粗仿宋" w:hAnsiTheme="majorEastAsia" w:hint="eastAsia"/>
          <w:sz w:val="32"/>
          <w:szCs w:val="21"/>
        </w:rPr>
        <w:t>建设银行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小</w:t>
      </w:r>
      <w:proofErr w:type="gramStart"/>
      <w:r w:rsidRPr="00797004">
        <w:rPr>
          <w:rFonts w:ascii="彩虹粗仿宋" w:eastAsia="彩虹粗仿宋" w:hAnsiTheme="majorEastAsia" w:hint="eastAsia"/>
          <w:sz w:val="32"/>
          <w:szCs w:val="21"/>
        </w:rPr>
        <w:t>微企业</w:t>
      </w:r>
      <w:proofErr w:type="gramEnd"/>
      <w:r w:rsidRPr="00797004">
        <w:rPr>
          <w:rFonts w:ascii="彩虹粗仿宋" w:eastAsia="彩虹粗仿宋" w:hAnsiTheme="majorEastAsia" w:hint="eastAsia"/>
          <w:sz w:val="32"/>
          <w:szCs w:val="21"/>
        </w:rPr>
        <w:t>贷款余额</w:t>
      </w:r>
      <w:r w:rsidR="00144DEC" w:rsidRPr="00797004">
        <w:rPr>
          <w:rFonts w:ascii="彩虹粗仿宋" w:eastAsia="彩虹粗仿宋" w:hAnsiTheme="majorEastAsia" w:hint="eastAsia"/>
          <w:sz w:val="32"/>
          <w:szCs w:val="21"/>
        </w:rPr>
        <w:t>达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1.46</w:t>
      </w:r>
      <w:proofErr w:type="gramStart"/>
      <w:r w:rsidRPr="00797004">
        <w:rPr>
          <w:rFonts w:ascii="彩虹粗仿宋" w:eastAsia="彩虹粗仿宋" w:hAnsiTheme="majorEastAsia" w:hint="eastAsia"/>
          <w:sz w:val="32"/>
          <w:szCs w:val="21"/>
        </w:rPr>
        <w:t>万亿</w:t>
      </w:r>
      <w:proofErr w:type="gramEnd"/>
      <w:r w:rsidRPr="00797004">
        <w:rPr>
          <w:rFonts w:ascii="彩虹粗仿宋" w:eastAsia="彩虹粗仿宋" w:hAnsiTheme="majorEastAsia" w:hint="eastAsia"/>
          <w:sz w:val="32"/>
          <w:szCs w:val="21"/>
        </w:rPr>
        <w:t>元，贷款客户</w:t>
      </w:r>
      <w:r w:rsidR="00144DEC" w:rsidRPr="00797004">
        <w:rPr>
          <w:rFonts w:ascii="彩虹粗仿宋" w:eastAsia="彩虹粗仿宋" w:hAnsiTheme="majorEastAsia" w:hint="eastAsia"/>
          <w:sz w:val="32"/>
          <w:szCs w:val="21"/>
        </w:rPr>
        <w:t>达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75万户，累计为超过160万户小</w:t>
      </w:r>
      <w:proofErr w:type="gramStart"/>
      <w:r w:rsidRPr="00797004">
        <w:rPr>
          <w:rFonts w:ascii="彩虹粗仿宋" w:eastAsia="彩虹粗仿宋" w:hAnsiTheme="majorEastAsia" w:hint="eastAsia"/>
          <w:sz w:val="32"/>
          <w:szCs w:val="21"/>
        </w:rPr>
        <w:t>微企业</w:t>
      </w:r>
      <w:proofErr w:type="gramEnd"/>
      <w:r w:rsidRPr="00797004">
        <w:rPr>
          <w:rFonts w:ascii="彩虹粗仿宋" w:eastAsia="彩虹粗仿宋" w:hAnsiTheme="majorEastAsia" w:hint="eastAsia"/>
          <w:sz w:val="32"/>
          <w:szCs w:val="21"/>
        </w:rPr>
        <w:t>提供7.4</w:t>
      </w:r>
      <w:proofErr w:type="gramStart"/>
      <w:r w:rsidRPr="00797004">
        <w:rPr>
          <w:rFonts w:ascii="彩虹粗仿宋" w:eastAsia="彩虹粗仿宋" w:hAnsiTheme="majorEastAsia" w:hint="eastAsia"/>
          <w:sz w:val="32"/>
          <w:szCs w:val="21"/>
        </w:rPr>
        <w:t>万亿</w:t>
      </w:r>
      <w:proofErr w:type="gramEnd"/>
      <w:r w:rsidRPr="00797004">
        <w:rPr>
          <w:rFonts w:ascii="彩虹粗仿宋" w:eastAsia="彩虹粗仿宋" w:hAnsiTheme="majorEastAsia" w:hint="eastAsia"/>
          <w:sz w:val="32"/>
          <w:szCs w:val="21"/>
        </w:rPr>
        <w:t xml:space="preserve">元信贷资金支持。 </w:t>
      </w:r>
    </w:p>
    <w:p w:rsidR="001A63FF" w:rsidRPr="00797004" w:rsidRDefault="001A63FF" w:rsidP="00797004">
      <w:pPr>
        <w:adjustRightInd w:val="0"/>
        <w:snapToGrid w:val="0"/>
        <w:spacing w:line="520" w:lineRule="exact"/>
        <w:ind w:firstLine="640"/>
        <w:jc w:val="left"/>
        <w:rPr>
          <w:rFonts w:ascii="彩虹粗仿宋" w:eastAsia="彩虹粗仿宋" w:hAnsiTheme="majorEastAsia" w:cs="彩虹粗仿宋" w:hint="eastAsia"/>
          <w:sz w:val="32"/>
          <w:szCs w:val="21"/>
        </w:rPr>
      </w:pPr>
      <w:r w:rsidRPr="00797004">
        <w:rPr>
          <w:rFonts w:ascii="彩虹粗仿宋" w:eastAsia="彩虹粗仿宋" w:hAnsiTheme="majorEastAsia" w:hint="eastAsia"/>
          <w:sz w:val="32"/>
          <w:szCs w:val="21"/>
        </w:rPr>
        <w:t>建设银行副行长章更生、董事会秘书兼首席经济学家黄志凌及相关部门领导，以及新华社副秘书长兼办公厅主任宫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lastRenderedPageBreak/>
        <w:t>喜祥、中国经济信息社董事长兼总裁徐玉长，亚洲金融合作协会秘书长杨再平、中国中小企业协会专职副会长刘纪恒、华中科技大学党委委员</w:t>
      </w:r>
      <w:r w:rsidR="007E2E1C" w:rsidRPr="00797004">
        <w:rPr>
          <w:rFonts w:ascii="彩虹粗仿宋" w:eastAsia="彩虹粗仿宋" w:hAnsiTheme="majorEastAsia" w:hint="eastAsia"/>
          <w:sz w:val="32"/>
          <w:szCs w:val="21"/>
        </w:rPr>
        <w:t>、经济学院院长</w:t>
      </w:r>
      <w:r w:rsidRPr="00797004">
        <w:rPr>
          <w:rFonts w:ascii="彩虹粗仿宋" w:eastAsia="彩虹粗仿宋" w:hAnsiTheme="majorEastAsia" w:hint="eastAsia"/>
          <w:sz w:val="32"/>
          <w:szCs w:val="21"/>
        </w:rPr>
        <w:t>张建华、东北财经大学副校长肖兴志等领导出席了本次发布会。</w:t>
      </w:r>
    </w:p>
    <w:p w:rsidR="001A63FF" w:rsidRPr="00797004" w:rsidRDefault="001A63FF" w:rsidP="00797004">
      <w:pPr>
        <w:adjustRightInd w:val="0"/>
        <w:snapToGrid w:val="0"/>
        <w:spacing w:line="520" w:lineRule="exact"/>
        <w:ind w:firstLineChars="200" w:firstLine="960"/>
        <w:rPr>
          <w:rFonts w:ascii="彩虹粗仿宋" w:eastAsia="彩虹粗仿宋" w:hAnsi="宋体" w:hint="eastAsia"/>
          <w:sz w:val="48"/>
          <w:szCs w:val="32"/>
        </w:rPr>
      </w:pPr>
    </w:p>
    <w:sectPr w:rsidR="001A63FF" w:rsidRPr="0079700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3E" w:rsidRDefault="0014413E" w:rsidP="000C12E5">
      <w:r>
        <w:separator/>
      </w:r>
    </w:p>
  </w:endnote>
  <w:endnote w:type="continuationSeparator" w:id="0">
    <w:p w:rsidR="0014413E" w:rsidRDefault="0014413E" w:rsidP="000C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小标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04567"/>
      <w:docPartObj>
        <w:docPartGallery w:val="Page Numbers (Bottom of Page)"/>
        <w:docPartUnique/>
      </w:docPartObj>
    </w:sdtPr>
    <w:sdtEndPr/>
    <w:sdtContent>
      <w:p w:rsidR="00D80F0C" w:rsidRDefault="00D80F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004" w:rsidRPr="00797004">
          <w:rPr>
            <w:noProof/>
            <w:lang w:val="zh-CN"/>
          </w:rPr>
          <w:t>2</w:t>
        </w:r>
        <w:r>
          <w:fldChar w:fldCharType="end"/>
        </w:r>
      </w:p>
    </w:sdtContent>
  </w:sdt>
  <w:p w:rsidR="00D80F0C" w:rsidRDefault="00D80F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3E" w:rsidRDefault="0014413E" w:rsidP="000C12E5">
      <w:r>
        <w:separator/>
      </w:r>
    </w:p>
  </w:footnote>
  <w:footnote w:type="continuationSeparator" w:id="0">
    <w:p w:rsidR="0014413E" w:rsidRDefault="0014413E" w:rsidP="000C1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EE"/>
    <w:rsid w:val="0000612B"/>
    <w:rsid w:val="00014580"/>
    <w:rsid w:val="000307F1"/>
    <w:rsid w:val="000513FD"/>
    <w:rsid w:val="00061E6C"/>
    <w:rsid w:val="00065DAD"/>
    <w:rsid w:val="0008066C"/>
    <w:rsid w:val="00085810"/>
    <w:rsid w:val="000A6C45"/>
    <w:rsid w:val="000B06EA"/>
    <w:rsid w:val="000B4AD1"/>
    <w:rsid w:val="000B524E"/>
    <w:rsid w:val="000C12E5"/>
    <w:rsid w:val="000D0F43"/>
    <w:rsid w:val="000E2D26"/>
    <w:rsid w:val="000E6240"/>
    <w:rsid w:val="001101BE"/>
    <w:rsid w:val="00133F28"/>
    <w:rsid w:val="00140AC7"/>
    <w:rsid w:val="0014413E"/>
    <w:rsid w:val="00144DEC"/>
    <w:rsid w:val="001568BD"/>
    <w:rsid w:val="0017428A"/>
    <w:rsid w:val="001947EC"/>
    <w:rsid w:val="001A63FF"/>
    <w:rsid w:val="001B089E"/>
    <w:rsid w:val="001B7237"/>
    <w:rsid w:val="001C2FBF"/>
    <w:rsid w:val="001E29C0"/>
    <w:rsid w:val="001E4B7F"/>
    <w:rsid w:val="00200EEE"/>
    <w:rsid w:val="0020246B"/>
    <w:rsid w:val="00210204"/>
    <w:rsid w:val="002253CE"/>
    <w:rsid w:val="00230199"/>
    <w:rsid w:val="002332B6"/>
    <w:rsid w:val="00261FEB"/>
    <w:rsid w:val="00275C2E"/>
    <w:rsid w:val="00284EDA"/>
    <w:rsid w:val="00285B40"/>
    <w:rsid w:val="002941B9"/>
    <w:rsid w:val="002C48B5"/>
    <w:rsid w:val="002D0D9F"/>
    <w:rsid w:val="0034291B"/>
    <w:rsid w:val="00353954"/>
    <w:rsid w:val="003635EA"/>
    <w:rsid w:val="0039636C"/>
    <w:rsid w:val="003D628B"/>
    <w:rsid w:val="003E139F"/>
    <w:rsid w:val="003F44DC"/>
    <w:rsid w:val="00405BD9"/>
    <w:rsid w:val="004079BE"/>
    <w:rsid w:val="00417259"/>
    <w:rsid w:val="00456FDD"/>
    <w:rsid w:val="00470249"/>
    <w:rsid w:val="00471935"/>
    <w:rsid w:val="00474590"/>
    <w:rsid w:val="004E6595"/>
    <w:rsid w:val="004F2BDD"/>
    <w:rsid w:val="004F2EAF"/>
    <w:rsid w:val="00511932"/>
    <w:rsid w:val="0053352E"/>
    <w:rsid w:val="00537828"/>
    <w:rsid w:val="005468F6"/>
    <w:rsid w:val="00572E11"/>
    <w:rsid w:val="0058270C"/>
    <w:rsid w:val="005A0B5E"/>
    <w:rsid w:val="005A2EB9"/>
    <w:rsid w:val="005D4336"/>
    <w:rsid w:val="005E097E"/>
    <w:rsid w:val="005E1350"/>
    <w:rsid w:val="005E1B2C"/>
    <w:rsid w:val="0061412C"/>
    <w:rsid w:val="0063037A"/>
    <w:rsid w:val="006510AD"/>
    <w:rsid w:val="006532D3"/>
    <w:rsid w:val="00680D05"/>
    <w:rsid w:val="006A4836"/>
    <w:rsid w:val="006C760A"/>
    <w:rsid w:val="006C7E3B"/>
    <w:rsid w:val="00703EF8"/>
    <w:rsid w:val="007044B8"/>
    <w:rsid w:val="007154DF"/>
    <w:rsid w:val="007178F6"/>
    <w:rsid w:val="007179F4"/>
    <w:rsid w:val="00727B36"/>
    <w:rsid w:val="0075544D"/>
    <w:rsid w:val="007562C9"/>
    <w:rsid w:val="00790962"/>
    <w:rsid w:val="00797004"/>
    <w:rsid w:val="007A7F0E"/>
    <w:rsid w:val="007D090A"/>
    <w:rsid w:val="007D1228"/>
    <w:rsid w:val="007E2E1C"/>
    <w:rsid w:val="007E5BF7"/>
    <w:rsid w:val="008228A4"/>
    <w:rsid w:val="008314DA"/>
    <w:rsid w:val="00842BF7"/>
    <w:rsid w:val="00854558"/>
    <w:rsid w:val="008A46D3"/>
    <w:rsid w:val="008A67E2"/>
    <w:rsid w:val="008E3A13"/>
    <w:rsid w:val="008F633E"/>
    <w:rsid w:val="0093456F"/>
    <w:rsid w:val="00946C69"/>
    <w:rsid w:val="00985D4D"/>
    <w:rsid w:val="00991AF1"/>
    <w:rsid w:val="0099291F"/>
    <w:rsid w:val="009944CE"/>
    <w:rsid w:val="00995F8B"/>
    <w:rsid w:val="00996182"/>
    <w:rsid w:val="009974DF"/>
    <w:rsid w:val="009B69D7"/>
    <w:rsid w:val="009C5E29"/>
    <w:rsid w:val="009D5404"/>
    <w:rsid w:val="009E3679"/>
    <w:rsid w:val="00A07D3E"/>
    <w:rsid w:val="00A16026"/>
    <w:rsid w:val="00A23E4B"/>
    <w:rsid w:val="00A32E42"/>
    <w:rsid w:val="00A5310B"/>
    <w:rsid w:val="00A554AF"/>
    <w:rsid w:val="00A60CE2"/>
    <w:rsid w:val="00A662EE"/>
    <w:rsid w:val="00A7336B"/>
    <w:rsid w:val="00AA4A0F"/>
    <w:rsid w:val="00AB4067"/>
    <w:rsid w:val="00AB6F14"/>
    <w:rsid w:val="00AC34A5"/>
    <w:rsid w:val="00AF3D43"/>
    <w:rsid w:val="00B136D9"/>
    <w:rsid w:val="00B15397"/>
    <w:rsid w:val="00B27149"/>
    <w:rsid w:val="00B34582"/>
    <w:rsid w:val="00B67FC4"/>
    <w:rsid w:val="00B877AF"/>
    <w:rsid w:val="00BA1CB6"/>
    <w:rsid w:val="00BD21D3"/>
    <w:rsid w:val="00C072AB"/>
    <w:rsid w:val="00C1032E"/>
    <w:rsid w:val="00C44DEE"/>
    <w:rsid w:val="00C70D3A"/>
    <w:rsid w:val="00C805F3"/>
    <w:rsid w:val="00C80EDE"/>
    <w:rsid w:val="00C97FB1"/>
    <w:rsid w:val="00CA7C00"/>
    <w:rsid w:val="00CD442F"/>
    <w:rsid w:val="00D37104"/>
    <w:rsid w:val="00D72609"/>
    <w:rsid w:val="00D80F0C"/>
    <w:rsid w:val="00D952B3"/>
    <w:rsid w:val="00DF037D"/>
    <w:rsid w:val="00DF5621"/>
    <w:rsid w:val="00E0477A"/>
    <w:rsid w:val="00E35477"/>
    <w:rsid w:val="00E86420"/>
    <w:rsid w:val="00EE1FE9"/>
    <w:rsid w:val="00EE4C8D"/>
    <w:rsid w:val="00F07119"/>
    <w:rsid w:val="00F25537"/>
    <w:rsid w:val="00F27642"/>
    <w:rsid w:val="00F67277"/>
    <w:rsid w:val="00F70355"/>
    <w:rsid w:val="00FE3898"/>
    <w:rsid w:val="00FF0585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2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2E5"/>
    <w:rPr>
      <w:sz w:val="18"/>
      <w:szCs w:val="18"/>
    </w:rPr>
  </w:style>
  <w:style w:type="paragraph" w:customStyle="1" w:styleId="Default">
    <w:name w:val="Default"/>
    <w:rsid w:val="008A46D3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customStyle="1" w:styleId="im-content1">
    <w:name w:val="im-content1"/>
    <w:basedOn w:val="a0"/>
    <w:rsid w:val="005A0B5E"/>
    <w:rPr>
      <w:vanish w:val="0"/>
      <w:webHidden w:val="0"/>
      <w:color w:val="333333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3635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5EA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1A63F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1A63FF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1A6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E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C1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C12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C1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C12E5"/>
    <w:rPr>
      <w:sz w:val="18"/>
      <w:szCs w:val="18"/>
    </w:rPr>
  </w:style>
  <w:style w:type="paragraph" w:customStyle="1" w:styleId="Default">
    <w:name w:val="Default"/>
    <w:rsid w:val="008A46D3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customStyle="1" w:styleId="im-content1">
    <w:name w:val="im-content1"/>
    <w:basedOn w:val="a0"/>
    <w:rsid w:val="005A0B5E"/>
    <w:rPr>
      <w:vanish w:val="0"/>
      <w:webHidden w:val="0"/>
      <w:color w:val="333333"/>
      <w:specVanish w:val="0"/>
    </w:rPr>
  </w:style>
  <w:style w:type="paragraph" w:styleId="a6">
    <w:name w:val="Balloon Text"/>
    <w:basedOn w:val="a"/>
    <w:link w:val="Char1"/>
    <w:uiPriority w:val="99"/>
    <w:semiHidden/>
    <w:unhideWhenUsed/>
    <w:rsid w:val="003635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35EA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1A63F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1A63FF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1A6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刘烨</dc:creator>
  <cp:lastModifiedBy>李海霞 </cp:lastModifiedBy>
  <cp:revision>10</cp:revision>
  <dcterms:created xsi:type="dcterms:W3CDTF">2018-10-11T07:01:00Z</dcterms:created>
  <dcterms:modified xsi:type="dcterms:W3CDTF">2018-10-11T08:31:00Z</dcterms:modified>
</cp:coreProperties>
</file>